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left"/>
        <w:rPr>
          <w:rFonts w:hint="eastAsia" w:ascii="华文仿宋" w:hAnsi="华文仿宋" w:eastAsia="华文仿宋" w:cs="华文仿宋"/>
          <w:b/>
          <w:bCs/>
          <w:color w:val="auto"/>
          <w:spacing w:val="-20"/>
          <w:sz w:val="32"/>
          <w:szCs w:val="32"/>
          <w:lang w:val="en-US" w:eastAsia="zh-CN"/>
        </w:rPr>
      </w:pPr>
      <w:r>
        <w:rPr>
          <w:rFonts w:hint="eastAsia" w:ascii="华文仿宋" w:hAnsi="华文仿宋" w:eastAsia="华文仿宋" w:cs="华文仿宋"/>
          <w:b/>
          <w:bCs/>
          <w:color w:val="auto"/>
          <w:spacing w:val="-20"/>
          <w:sz w:val="32"/>
          <w:szCs w:val="32"/>
          <w:lang w:val="en-US" w:eastAsia="zh-CN"/>
        </w:rPr>
        <w:t>附件1 ：</w:t>
      </w:r>
    </w:p>
    <w:p>
      <w:pPr>
        <w:jc w:val="center"/>
        <w:rPr>
          <w:rFonts w:hint="eastAsia" w:ascii="华文仿宋" w:hAnsi="华文仿宋" w:eastAsia="华文仿宋" w:cs="华文仿宋"/>
          <w:b/>
          <w:bCs/>
          <w:color w:val="auto"/>
          <w:sz w:val="44"/>
          <w:szCs w:val="44"/>
          <w:lang w:eastAsia="zh-CN"/>
        </w:rPr>
      </w:pPr>
      <w:bookmarkStart w:id="0" w:name="_GoBack"/>
      <w:r>
        <w:rPr>
          <w:rFonts w:hint="eastAsia" w:ascii="华文仿宋" w:hAnsi="华文仿宋" w:eastAsia="华文仿宋" w:cs="华文仿宋"/>
          <w:b/>
          <w:bCs/>
          <w:color w:val="auto"/>
          <w:sz w:val="44"/>
          <w:szCs w:val="44"/>
          <w:lang w:eastAsia="zh-CN"/>
        </w:rPr>
        <w:t>苏州市物业管理行业慈善爱心基金</w:t>
      </w:r>
    </w:p>
    <w:p>
      <w:pPr>
        <w:jc w:val="center"/>
        <w:rPr>
          <w:rFonts w:hint="eastAsia" w:ascii="华文仿宋" w:hAnsi="华文仿宋" w:eastAsia="华文仿宋" w:cs="华文仿宋"/>
          <w:b/>
          <w:bCs/>
          <w:color w:val="auto"/>
          <w:sz w:val="44"/>
          <w:szCs w:val="44"/>
        </w:rPr>
      </w:pPr>
      <w:r>
        <w:rPr>
          <w:rFonts w:hint="eastAsia" w:ascii="华文仿宋" w:hAnsi="华文仿宋" w:eastAsia="华文仿宋" w:cs="华文仿宋"/>
          <w:b/>
          <w:bCs/>
          <w:color w:val="auto"/>
          <w:sz w:val="44"/>
          <w:szCs w:val="44"/>
        </w:rPr>
        <w:t>扶智工程实施方案</w:t>
      </w:r>
    </w:p>
    <w:bookmarkEnd w:id="0"/>
    <w:p>
      <w:pPr>
        <w:rPr>
          <w:rFonts w:hint="eastAsia" w:ascii="华文仿宋" w:hAnsi="华文仿宋" w:eastAsia="华文仿宋" w:cs="华文仿宋"/>
          <w:color w:val="auto"/>
        </w:rPr>
      </w:pPr>
    </w:p>
    <w:p>
      <w:pPr>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为增强</w:t>
      </w:r>
      <w:r>
        <w:rPr>
          <w:rFonts w:hint="eastAsia" w:ascii="华文仿宋" w:hAnsi="华文仿宋" w:eastAsia="华文仿宋" w:cs="华文仿宋"/>
          <w:color w:val="auto"/>
          <w:sz w:val="32"/>
          <w:szCs w:val="32"/>
          <w:lang w:eastAsia="zh-CN"/>
        </w:rPr>
        <w:t>苏州市物业管理行业</w:t>
      </w:r>
      <w:r>
        <w:rPr>
          <w:rFonts w:hint="eastAsia" w:ascii="华文仿宋" w:hAnsi="华文仿宋" w:eastAsia="华文仿宋" w:cs="华文仿宋"/>
          <w:color w:val="auto"/>
          <w:sz w:val="32"/>
          <w:szCs w:val="32"/>
        </w:rPr>
        <w:t>贫困对象自主脱贫意识,激发内生动力,提高脱贫能力,结合</w:t>
      </w:r>
      <w:r>
        <w:rPr>
          <w:rFonts w:hint="eastAsia" w:ascii="华文仿宋" w:hAnsi="华文仿宋" w:eastAsia="华文仿宋" w:cs="华文仿宋"/>
          <w:color w:val="auto"/>
          <w:sz w:val="32"/>
          <w:szCs w:val="32"/>
          <w:lang w:eastAsia="zh-CN"/>
        </w:rPr>
        <w:t>苏州</w:t>
      </w:r>
      <w:r>
        <w:rPr>
          <w:rFonts w:hint="eastAsia" w:ascii="华文仿宋" w:hAnsi="华文仿宋" w:eastAsia="华文仿宋" w:cs="华文仿宋"/>
          <w:color w:val="auto"/>
          <w:sz w:val="32"/>
          <w:szCs w:val="32"/>
        </w:rPr>
        <w:t>市</w:t>
      </w:r>
      <w:r>
        <w:rPr>
          <w:rFonts w:hint="eastAsia" w:ascii="华文仿宋" w:hAnsi="华文仿宋" w:eastAsia="华文仿宋" w:cs="华文仿宋"/>
          <w:color w:val="auto"/>
          <w:sz w:val="32"/>
          <w:szCs w:val="32"/>
          <w:lang w:eastAsia="zh-CN"/>
        </w:rPr>
        <w:t>物业管理行业基层员工的</w:t>
      </w:r>
      <w:r>
        <w:rPr>
          <w:rFonts w:hint="eastAsia" w:ascii="华文仿宋" w:hAnsi="华文仿宋" w:eastAsia="华文仿宋" w:cs="华文仿宋"/>
          <w:color w:val="auto"/>
          <w:sz w:val="32"/>
          <w:szCs w:val="32"/>
        </w:rPr>
        <w:t>脱贫攻坚工作实际,特制定如下方案。</w:t>
      </w:r>
    </w:p>
    <w:p>
      <w:pPr>
        <w:rPr>
          <w:rFonts w:hint="eastAsia"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lang w:eastAsia="zh-CN"/>
        </w:rPr>
        <w:t>一、</w:t>
      </w:r>
      <w:r>
        <w:rPr>
          <w:rFonts w:hint="eastAsia" w:ascii="华文仿宋" w:hAnsi="华文仿宋" w:eastAsia="华文仿宋" w:cs="华文仿宋"/>
          <w:b/>
          <w:bCs/>
          <w:color w:val="auto"/>
          <w:sz w:val="32"/>
          <w:szCs w:val="32"/>
        </w:rPr>
        <w:t>指导思想</w:t>
      </w:r>
    </w:p>
    <w:p>
      <w:pPr>
        <w:ind w:firstLine="640" w:firstLineChars="200"/>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rPr>
        <w:t>坚持以党的十九大以来脱贫攻坚各项决策部署为指导,实施“扶贫先扶志（智）”工作策略。“扶智”</w:t>
      </w:r>
      <w:r>
        <w:rPr>
          <w:rFonts w:hint="eastAsia" w:ascii="华文仿宋" w:hAnsi="华文仿宋" w:eastAsia="华文仿宋" w:cs="华文仿宋"/>
          <w:color w:val="auto"/>
          <w:sz w:val="32"/>
          <w:szCs w:val="32"/>
          <w:lang w:eastAsia="zh-CN"/>
        </w:rPr>
        <w:t>要</w:t>
      </w:r>
      <w:r>
        <w:rPr>
          <w:rFonts w:hint="eastAsia" w:ascii="华文仿宋" w:hAnsi="华文仿宋" w:eastAsia="华文仿宋" w:cs="华文仿宋"/>
          <w:color w:val="auto"/>
          <w:sz w:val="32"/>
          <w:szCs w:val="32"/>
        </w:rPr>
        <w:t>是从职业教育、</w:t>
      </w:r>
      <w:r>
        <w:rPr>
          <w:rFonts w:hint="eastAsia" w:ascii="华文仿宋" w:hAnsi="华文仿宋" w:eastAsia="华文仿宋" w:cs="华文仿宋"/>
          <w:color w:val="auto"/>
          <w:sz w:val="32"/>
          <w:szCs w:val="32"/>
          <w:lang w:eastAsia="zh-CN"/>
        </w:rPr>
        <w:t>技能</w:t>
      </w:r>
      <w:r>
        <w:rPr>
          <w:rFonts w:hint="eastAsia" w:ascii="华文仿宋" w:hAnsi="华文仿宋" w:eastAsia="华文仿宋" w:cs="华文仿宋"/>
          <w:color w:val="auto"/>
          <w:sz w:val="32"/>
          <w:szCs w:val="32"/>
        </w:rPr>
        <w:t>推广、科技推广、信息流通渠道拓展等方面，培育有</w:t>
      </w:r>
      <w:r>
        <w:rPr>
          <w:rFonts w:hint="eastAsia" w:ascii="华文仿宋" w:hAnsi="华文仿宋" w:eastAsia="华文仿宋" w:cs="华文仿宋"/>
          <w:color w:val="auto"/>
          <w:sz w:val="32"/>
          <w:szCs w:val="32"/>
          <w:lang w:eastAsia="zh-CN"/>
        </w:rPr>
        <w:t>党性引领的自觉素养</w:t>
      </w:r>
      <w:r>
        <w:rPr>
          <w:rFonts w:hint="eastAsia" w:ascii="华文仿宋" w:hAnsi="华文仿宋" w:eastAsia="华文仿宋" w:cs="华文仿宋"/>
          <w:color w:val="auto"/>
          <w:sz w:val="32"/>
          <w:szCs w:val="32"/>
        </w:rPr>
        <w:t>、有职业技能、有</w:t>
      </w:r>
      <w:r>
        <w:rPr>
          <w:rFonts w:hint="eastAsia" w:ascii="华文仿宋" w:hAnsi="华文仿宋" w:eastAsia="华文仿宋" w:cs="华文仿宋"/>
          <w:color w:val="auto"/>
          <w:sz w:val="32"/>
          <w:szCs w:val="32"/>
          <w:lang w:eastAsia="zh-CN"/>
        </w:rPr>
        <w:t>服务</w:t>
      </w:r>
      <w:r>
        <w:rPr>
          <w:rFonts w:hint="eastAsia" w:ascii="华文仿宋" w:hAnsi="华文仿宋" w:eastAsia="华文仿宋" w:cs="华文仿宋"/>
          <w:color w:val="auto"/>
          <w:sz w:val="32"/>
          <w:szCs w:val="32"/>
        </w:rPr>
        <w:t>意识与能力的新兴知识化</w:t>
      </w:r>
      <w:r>
        <w:rPr>
          <w:rFonts w:hint="eastAsia" w:ascii="华文仿宋" w:hAnsi="华文仿宋" w:eastAsia="华文仿宋" w:cs="华文仿宋"/>
          <w:color w:val="auto"/>
          <w:sz w:val="32"/>
          <w:szCs w:val="32"/>
          <w:lang w:eastAsia="zh-CN"/>
        </w:rPr>
        <w:t>物业管理行业从业人员</w:t>
      </w:r>
      <w:r>
        <w:rPr>
          <w:rFonts w:hint="eastAsia" w:ascii="华文仿宋" w:hAnsi="华文仿宋" w:eastAsia="华文仿宋" w:cs="华文仿宋"/>
          <w:color w:val="auto"/>
          <w:sz w:val="32"/>
          <w:szCs w:val="32"/>
        </w:rPr>
        <w:t>，以</w:t>
      </w:r>
      <w:r>
        <w:rPr>
          <w:rFonts w:hint="eastAsia" w:ascii="华文仿宋" w:hAnsi="华文仿宋" w:eastAsia="华文仿宋" w:cs="华文仿宋"/>
          <w:color w:val="auto"/>
          <w:sz w:val="32"/>
          <w:szCs w:val="32"/>
          <w:lang w:eastAsia="zh-CN"/>
        </w:rPr>
        <w:t>满足人们日益增长的物质文化需求</w:t>
      </w:r>
      <w:r>
        <w:rPr>
          <w:rFonts w:hint="eastAsia" w:ascii="华文仿宋" w:hAnsi="华文仿宋" w:eastAsia="华文仿宋" w:cs="华文仿宋"/>
          <w:color w:val="auto"/>
          <w:sz w:val="32"/>
          <w:szCs w:val="32"/>
        </w:rPr>
        <w:t>，转变</w:t>
      </w:r>
      <w:r>
        <w:rPr>
          <w:rFonts w:hint="eastAsia" w:ascii="华文仿宋" w:hAnsi="华文仿宋" w:eastAsia="华文仿宋" w:cs="华文仿宋"/>
          <w:color w:val="auto"/>
          <w:sz w:val="32"/>
          <w:szCs w:val="32"/>
          <w:lang w:eastAsia="zh-CN"/>
        </w:rPr>
        <w:t>服务意识与服务开展</w:t>
      </w:r>
      <w:r>
        <w:rPr>
          <w:rFonts w:hint="eastAsia" w:ascii="华文仿宋" w:hAnsi="华文仿宋" w:eastAsia="华文仿宋" w:cs="华文仿宋"/>
          <w:color w:val="auto"/>
          <w:sz w:val="32"/>
          <w:szCs w:val="32"/>
        </w:rPr>
        <w:t>方式</w:t>
      </w:r>
      <w:r>
        <w:rPr>
          <w:rFonts w:hint="eastAsia" w:ascii="华文仿宋" w:hAnsi="华文仿宋" w:eastAsia="华文仿宋" w:cs="华文仿宋"/>
          <w:color w:val="auto"/>
          <w:sz w:val="32"/>
          <w:szCs w:val="32"/>
          <w:lang w:eastAsia="zh-CN"/>
        </w:rPr>
        <w:t>，</w:t>
      </w:r>
      <w:r>
        <w:rPr>
          <w:rFonts w:hint="eastAsia" w:ascii="华文仿宋" w:hAnsi="华文仿宋" w:eastAsia="华文仿宋" w:cs="华文仿宋"/>
          <w:color w:val="auto"/>
          <w:sz w:val="32"/>
          <w:szCs w:val="32"/>
        </w:rPr>
        <w:t>教育引导贫困群众树立自立自强的意识,全面激发</w:t>
      </w:r>
      <w:r>
        <w:rPr>
          <w:rFonts w:hint="eastAsia" w:ascii="华文仿宋" w:hAnsi="华文仿宋" w:eastAsia="华文仿宋" w:cs="华文仿宋"/>
          <w:color w:val="auto"/>
          <w:sz w:val="32"/>
          <w:szCs w:val="32"/>
          <w:lang w:eastAsia="zh-CN"/>
        </w:rPr>
        <w:t>物业管理从业人员</w:t>
      </w:r>
      <w:r>
        <w:rPr>
          <w:rFonts w:hint="eastAsia" w:ascii="华文仿宋" w:hAnsi="华文仿宋" w:eastAsia="华文仿宋" w:cs="华文仿宋"/>
          <w:color w:val="auto"/>
          <w:sz w:val="32"/>
          <w:szCs w:val="32"/>
        </w:rPr>
        <w:t>脱贫攻坚的内生动力,振奋精神,主动参与,积极作为。</w:t>
      </w:r>
    </w:p>
    <w:p>
      <w:pPr>
        <w:numPr>
          <w:ilvl w:val="0"/>
          <w:numId w:val="0"/>
        </w:numPr>
        <w:rPr>
          <w:rFonts w:hint="eastAsia" w:ascii="华文仿宋" w:hAnsi="华文仿宋" w:eastAsia="华文仿宋" w:cs="华文仿宋"/>
          <w:b/>
          <w:bCs/>
          <w:color w:val="auto"/>
          <w:sz w:val="32"/>
          <w:szCs w:val="32"/>
          <w:lang w:eastAsia="zh-CN"/>
        </w:rPr>
      </w:pPr>
      <w:r>
        <w:rPr>
          <w:rFonts w:hint="eastAsia" w:ascii="华文仿宋" w:hAnsi="华文仿宋" w:eastAsia="华文仿宋" w:cs="华文仿宋"/>
          <w:b/>
          <w:bCs/>
          <w:color w:val="auto"/>
          <w:sz w:val="32"/>
          <w:szCs w:val="32"/>
          <w:lang w:eastAsia="zh-CN"/>
        </w:rPr>
        <w:t>二、</w:t>
      </w:r>
      <w:r>
        <w:rPr>
          <w:rFonts w:hint="eastAsia" w:ascii="华文仿宋" w:hAnsi="华文仿宋" w:eastAsia="华文仿宋" w:cs="华文仿宋"/>
          <w:b/>
          <w:bCs/>
          <w:color w:val="auto"/>
          <w:sz w:val="32"/>
          <w:szCs w:val="32"/>
        </w:rPr>
        <w:t>帮扶</w:t>
      </w:r>
      <w:r>
        <w:rPr>
          <w:rFonts w:hint="eastAsia" w:ascii="华文仿宋" w:hAnsi="华文仿宋" w:eastAsia="华文仿宋" w:cs="华文仿宋"/>
          <w:b/>
          <w:bCs/>
          <w:color w:val="auto"/>
          <w:sz w:val="32"/>
          <w:szCs w:val="32"/>
          <w:lang w:eastAsia="zh-CN"/>
        </w:rPr>
        <w:t>对象</w:t>
      </w:r>
    </w:p>
    <w:p>
      <w:pPr>
        <w:ind w:firstLine="640" w:firstLineChars="200"/>
        <w:rPr>
          <w:rFonts w:hint="eastAsia" w:ascii="华文仿宋" w:hAnsi="华文仿宋" w:eastAsia="华文仿宋" w:cs="华文仿宋"/>
          <w:color w:val="auto"/>
        </w:rPr>
      </w:pPr>
      <w:r>
        <w:rPr>
          <w:rFonts w:hint="eastAsia" w:ascii="华文仿宋" w:hAnsi="华文仿宋" w:eastAsia="华文仿宋" w:cs="华文仿宋"/>
          <w:color w:val="auto"/>
          <w:sz w:val="32"/>
          <w:szCs w:val="32"/>
          <w:lang w:eastAsia="zh-CN"/>
        </w:rPr>
        <w:t>与在苏物业服务企业签订劳动合同，并在基层岗位任职、具有大专学历的物业管理行业从业人员</w:t>
      </w:r>
      <w:r>
        <w:rPr>
          <w:rFonts w:hint="eastAsia" w:ascii="华文仿宋" w:hAnsi="华文仿宋" w:eastAsia="华文仿宋" w:cs="华文仿宋"/>
          <w:color w:val="auto"/>
          <w:sz w:val="32"/>
          <w:szCs w:val="32"/>
        </w:rPr>
        <w:t xml:space="preserve">。 </w:t>
      </w:r>
    </w:p>
    <w:p>
      <w:pPr>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b/>
          <w:bCs/>
          <w:color w:val="auto"/>
          <w:sz w:val="32"/>
          <w:szCs w:val="32"/>
          <w:lang w:eastAsia="zh-CN"/>
        </w:rPr>
        <w:t>三、帮扶内容</w:t>
      </w:r>
    </w:p>
    <w:p>
      <w:pPr>
        <w:ind w:firstLine="640" w:firstLineChars="200"/>
        <w:rPr>
          <w:rFonts w:hint="eastAsia" w:ascii="华文仿宋" w:hAnsi="华文仿宋" w:eastAsia="华文仿宋" w:cs="华文仿宋"/>
          <w:color w:val="auto"/>
        </w:rPr>
      </w:pPr>
      <w:r>
        <w:rPr>
          <w:rFonts w:hint="eastAsia" w:ascii="华文仿宋" w:hAnsi="华文仿宋" w:eastAsia="华文仿宋" w:cs="华文仿宋"/>
          <w:color w:val="auto"/>
          <w:sz w:val="32"/>
          <w:szCs w:val="32"/>
          <w:lang w:eastAsia="zh-CN"/>
        </w:rPr>
        <w:t>本项目通过与苏州大学合作，举办专升本（</w:t>
      </w:r>
      <w:r>
        <w:rPr>
          <w:rFonts w:hint="eastAsia" w:ascii="华文仿宋" w:hAnsi="华文仿宋" w:eastAsia="华文仿宋" w:cs="华文仿宋"/>
          <w:color w:val="auto"/>
          <w:sz w:val="32"/>
          <w:szCs w:val="32"/>
          <w:lang w:val="en-US" w:eastAsia="zh-CN"/>
        </w:rPr>
        <w:t>2.5年）</w:t>
      </w:r>
      <w:r>
        <w:rPr>
          <w:rFonts w:hint="eastAsia" w:ascii="华文仿宋" w:hAnsi="华文仿宋" w:eastAsia="华文仿宋" w:cs="华文仿宋"/>
          <w:color w:val="auto"/>
          <w:sz w:val="32"/>
          <w:szCs w:val="32"/>
          <w:lang w:eastAsia="zh-CN"/>
        </w:rPr>
        <w:t>定向学习班，通过</w:t>
      </w:r>
      <w:r>
        <w:rPr>
          <w:rFonts w:hint="eastAsia" w:ascii="华文仿宋" w:hAnsi="华文仿宋" w:eastAsia="华文仿宋" w:cs="华文仿宋"/>
          <w:color w:val="auto"/>
          <w:sz w:val="32"/>
          <w:szCs w:val="32"/>
          <w:lang w:val="en-US" w:eastAsia="zh-CN"/>
        </w:rPr>
        <w:t>专业学习，提升基层岗位从业者的专业服务技能。</w:t>
      </w:r>
    </w:p>
    <w:p>
      <w:pPr>
        <w:numPr>
          <w:ilvl w:val="0"/>
          <w:numId w:val="1"/>
        </w:numPr>
        <w:rPr>
          <w:rFonts w:hint="eastAsia" w:ascii="华文仿宋" w:hAnsi="华文仿宋" w:eastAsia="华文仿宋" w:cs="华文仿宋"/>
          <w:b/>
          <w:bCs/>
          <w:color w:val="auto"/>
          <w:sz w:val="32"/>
          <w:szCs w:val="32"/>
          <w:lang w:eastAsia="zh-CN"/>
        </w:rPr>
      </w:pPr>
      <w:r>
        <w:rPr>
          <w:rFonts w:hint="eastAsia" w:ascii="华文仿宋" w:hAnsi="华文仿宋" w:eastAsia="华文仿宋" w:cs="华文仿宋"/>
          <w:b/>
          <w:bCs/>
          <w:color w:val="auto"/>
          <w:sz w:val="32"/>
          <w:szCs w:val="32"/>
          <w:lang w:eastAsia="zh-CN"/>
        </w:rPr>
        <w:t>项目组织形式</w:t>
      </w:r>
    </w:p>
    <w:p>
      <w:pPr>
        <w:numPr>
          <w:ilvl w:val="0"/>
          <w:numId w:val="0"/>
        </w:numPr>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（一）关于项目</w:t>
      </w:r>
    </w:p>
    <w:p>
      <w:pPr>
        <w:pStyle w:val="5"/>
        <w:numPr>
          <w:ilvl w:val="0"/>
          <w:numId w:val="0"/>
        </w:numPr>
        <w:spacing w:line="360" w:lineRule="auto"/>
        <w:ind w:firstLine="640" w:firstLineChars="200"/>
        <w:jc w:val="left"/>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市内符合申报条件的物业管理行业从业人员，均可在就职公司报名，所有申报材料由物业企业统一报送至苏州市物业管理行业慈善基金办公室；</w:t>
      </w:r>
    </w:p>
    <w:p>
      <w:pPr>
        <w:pStyle w:val="5"/>
        <w:numPr>
          <w:ilvl w:val="0"/>
          <w:numId w:val="0"/>
        </w:numPr>
        <w:spacing w:line="360" w:lineRule="auto"/>
        <w:ind w:firstLine="640" w:firstLineChars="200"/>
        <w:jc w:val="left"/>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苏州市物业管理行业慈善爱心基金办公室受理申报材料后，对有关情况进行核实、审批、签署意见、公示无异议后，组织开展后续“扶智”项目工作；</w:t>
      </w:r>
    </w:p>
    <w:p>
      <w:pPr>
        <w:numPr>
          <w:ilvl w:val="0"/>
          <w:numId w:val="0"/>
        </w:numPr>
        <w:ind w:firstLine="640" w:firstLineChars="200"/>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参与到本次“扶智”项目的帮扶对象，需自行缴纳学费、教材费和有关费用。学业完成时，由苏州市物业管理行业慈善爱心基金办公室会同苏州市慈善总会（基金会），根据学业完成情况，最终决定资助经费金额；</w:t>
      </w:r>
    </w:p>
    <w:p>
      <w:pPr>
        <w:numPr>
          <w:ilvl w:val="0"/>
          <w:numId w:val="0"/>
        </w:numPr>
        <w:ind w:firstLine="640" w:firstLineChars="200"/>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本项目当年资金预算不得超过苏州市物业管理行业慈善爱心基金前一年度账户余额的50%。</w:t>
      </w:r>
    </w:p>
    <w:p>
      <w:pPr>
        <w:pStyle w:val="5"/>
        <w:numPr>
          <w:ilvl w:val="0"/>
          <w:numId w:val="0"/>
        </w:numPr>
        <w:spacing w:line="360" w:lineRule="auto"/>
        <w:ind w:leftChars="200"/>
        <w:jc w:val="left"/>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（二）关于资金发放</w:t>
      </w:r>
    </w:p>
    <w:p>
      <w:pPr>
        <w:numPr>
          <w:ilvl w:val="0"/>
          <w:numId w:val="0"/>
        </w:numPr>
        <w:ind w:firstLine="640" w:firstLineChars="200"/>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苏州市物业管理行业慈善爱心基金管理理事会核实情况、审批、签署意见、公示无异议后，经苏州市物业管理协会核准同意，并授权委托苏州市慈善总会（基金会）支付爱心基金。</w:t>
      </w:r>
    </w:p>
    <w:p>
      <w:pPr>
        <w:numPr>
          <w:ilvl w:val="0"/>
          <w:numId w:val="2"/>
        </w:numPr>
        <w:rPr>
          <w:rFonts w:hint="eastAsia" w:ascii="华文仿宋" w:hAnsi="华文仿宋" w:eastAsia="华文仿宋" w:cs="华文仿宋"/>
          <w:b/>
          <w:bCs/>
          <w:color w:val="auto"/>
          <w:sz w:val="32"/>
          <w:szCs w:val="32"/>
          <w:lang w:eastAsia="zh-CN"/>
        </w:rPr>
      </w:pPr>
      <w:r>
        <w:rPr>
          <w:rFonts w:hint="eastAsia" w:ascii="华文仿宋" w:hAnsi="华文仿宋" w:eastAsia="华文仿宋" w:cs="华文仿宋"/>
          <w:b/>
          <w:bCs/>
          <w:color w:val="auto"/>
          <w:sz w:val="32"/>
          <w:szCs w:val="32"/>
          <w:lang w:eastAsia="zh-CN"/>
        </w:rPr>
        <w:t>资助标准</w:t>
      </w:r>
    </w:p>
    <w:p>
      <w:pPr>
        <w:numPr>
          <w:ilvl w:val="0"/>
          <w:numId w:val="0"/>
        </w:numPr>
        <w:ind w:firstLine="640" w:firstLineChars="200"/>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通过本项目参加专升本学习的帮扶对象，须尽全力在学习期间，在全面提升专业素养与职业技能的同时，取得相关学校准予毕业的毕业证书。</w:t>
      </w:r>
    </w:p>
    <w:p>
      <w:pPr>
        <w:widowControl w:val="0"/>
        <w:numPr>
          <w:ilvl w:val="0"/>
          <w:numId w:val="0"/>
        </w:numPr>
        <w:jc w:val="center"/>
        <w:rPr>
          <w:rFonts w:hint="eastAsia" w:ascii="华文仿宋" w:hAnsi="华文仿宋" w:eastAsia="华文仿宋" w:cs="华文仿宋"/>
          <w:b/>
          <w:bCs/>
          <w:color w:val="auto"/>
          <w:sz w:val="18"/>
          <w:szCs w:val="18"/>
          <w:lang w:val="en-US" w:eastAsia="zh-CN"/>
        </w:rPr>
      </w:pPr>
      <w:r>
        <w:rPr>
          <w:rFonts w:hint="eastAsia" w:ascii="宋体" w:hAnsi="宋体" w:eastAsia="宋体" w:cs="宋体"/>
          <w:b/>
          <w:bCs/>
          <w:color w:val="auto"/>
          <w:sz w:val="18"/>
          <w:szCs w:val="18"/>
          <w:lang w:val="en-US" w:eastAsia="zh-CN"/>
        </w:rPr>
        <w:t>表1：“扶智”工程对接高校详细情况</w:t>
      </w:r>
    </w:p>
    <w:tbl>
      <w:tblPr>
        <w:tblStyle w:val="3"/>
        <w:tblW w:w="8625"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780"/>
        <w:gridCol w:w="1335"/>
        <w:gridCol w:w="975"/>
        <w:gridCol w:w="735"/>
        <w:gridCol w:w="705"/>
        <w:gridCol w:w="780"/>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60" w:type="dxa"/>
            <w:noWrap w:val="0"/>
            <w:vAlign w:val="center"/>
          </w:tcPr>
          <w:p>
            <w:pPr>
              <w:numPr>
                <w:ilvl w:val="0"/>
                <w:numId w:val="0"/>
              </w:numPr>
              <w:rPr>
                <w:rFonts w:hint="eastAsia" w:ascii="宋体" w:hAnsi="宋体" w:eastAsia="宋体" w:cs="宋体"/>
                <w:b/>
                <w:bCs/>
                <w:color w:val="auto"/>
                <w:sz w:val="18"/>
                <w:szCs w:val="18"/>
                <w:vertAlign w:val="baseline"/>
                <w:lang w:eastAsia="zh-CN"/>
              </w:rPr>
            </w:pPr>
            <w:r>
              <w:rPr>
                <w:rFonts w:hint="eastAsia" w:ascii="宋体" w:hAnsi="宋体" w:eastAsia="宋体" w:cs="宋体"/>
                <w:b/>
                <w:bCs/>
                <w:color w:val="auto"/>
                <w:sz w:val="18"/>
                <w:szCs w:val="18"/>
                <w:vertAlign w:val="baseline"/>
                <w:lang w:eastAsia="zh-CN"/>
              </w:rPr>
              <w:t>高校</w:t>
            </w:r>
          </w:p>
        </w:tc>
        <w:tc>
          <w:tcPr>
            <w:tcW w:w="780" w:type="dxa"/>
            <w:noWrap w:val="0"/>
            <w:vAlign w:val="center"/>
          </w:tcPr>
          <w:p>
            <w:pPr>
              <w:numPr>
                <w:ilvl w:val="0"/>
                <w:numId w:val="0"/>
              </w:numPr>
              <w:rPr>
                <w:rFonts w:hint="eastAsia" w:ascii="宋体" w:hAnsi="宋体" w:eastAsia="宋体" w:cs="宋体"/>
                <w:b/>
                <w:bCs/>
                <w:color w:val="auto"/>
                <w:sz w:val="18"/>
                <w:szCs w:val="18"/>
                <w:vertAlign w:val="baseline"/>
                <w:lang w:eastAsia="zh-CN"/>
              </w:rPr>
            </w:pPr>
            <w:r>
              <w:rPr>
                <w:rFonts w:hint="eastAsia" w:ascii="宋体" w:hAnsi="宋体" w:eastAsia="宋体" w:cs="宋体"/>
                <w:b/>
                <w:bCs/>
                <w:color w:val="auto"/>
                <w:sz w:val="18"/>
                <w:szCs w:val="18"/>
                <w:vertAlign w:val="baseline"/>
                <w:lang w:eastAsia="zh-CN"/>
              </w:rPr>
              <w:t>学历</w:t>
            </w:r>
          </w:p>
        </w:tc>
        <w:tc>
          <w:tcPr>
            <w:tcW w:w="1335" w:type="dxa"/>
            <w:noWrap w:val="0"/>
            <w:vAlign w:val="center"/>
          </w:tcPr>
          <w:p>
            <w:pPr>
              <w:numPr>
                <w:ilvl w:val="0"/>
                <w:numId w:val="0"/>
              </w:numPr>
              <w:rPr>
                <w:rFonts w:hint="eastAsia" w:ascii="宋体" w:hAnsi="宋体" w:eastAsia="宋体" w:cs="宋体"/>
                <w:b/>
                <w:bCs/>
                <w:color w:val="auto"/>
                <w:sz w:val="18"/>
                <w:szCs w:val="18"/>
                <w:vertAlign w:val="baseline"/>
                <w:lang w:eastAsia="zh-CN"/>
              </w:rPr>
            </w:pPr>
            <w:r>
              <w:rPr>
                <w:rFonts w:hint="eastAsia" w:ascii="宋体" w:hAnsi="宋体" w:eastAsia="宋体" w:cs="宋体"/>
                <w:b/>
                <w:bCs/>
                <w:color w:val="auto"/>
                <w:sz w:val="18"/>
                <w:szCs w:val="18"/>
                <w:vertAlign w:val="baseline"/>
                <w:lang w:eastAsia="zh-CN"/>
              </w:rPr>
              <w:t>专业</w:t>
            </w:r>
          </w:p>
        </w:tc>
        <w:tc>
          <w:tcPr>
            <w:tcW w:w="975" w:type="dxa"/>
            <w:noWrap w:val="0"/>
            <w:vAlign w:val="center"/>
          </w:tcPr>
          <w:p>
            <w:pPr>
              <w:numPr>
                <w:ilvl w:val="0"/>
                <w:numId w:val="0"/>
              </w:numPr>
              <w:ind w:left="0" w:leftChars="0" w:firstLine="0" w:firstLineChars="0"/>
              <w:rPr>
                <w:rFonts w:hint="eastAsia" w:ascii="宋体" w:hAnsi="宋体" w:eastAsia="宋体" w:cs="宋体"/>
                <w:b/>
                <w:bCs/>
                <w:color w:val="auto"/>
                <w:sz w:val="18"/>
                <w:szCs w:val="18"/>
                <w:vertAlign w:val="baseline"/>
                <w:lang w:eastAsia="zh-CN"/>
              </w:rPr>
            </w:pPr>
            <w:r>
              <w:rPr>
                <w:rFonts w:hint="eastAsia" w:ascii="宋体" w:hAnsi="宋体" w:eastAsia="宋体" w:cs="宋体"/>
                <w:b/>
                <w:bCs/>
                <w:color w:val="auto"/>
                <w:sz w:val="18"/>
                <w:szCs w:val="18"/>
                <w:vertAlign w:val="baseline"/>
                <w:lang w:eastAsia="zh-CN"/>
              </w:rPr>
              <w:t>考试方式</w:t>
            </w:r>
          </w:p>
        </w:tc>
        <w:tc>
          <w:tcPr>
            <w:tcW w:w="735" w:type="dxa"/>
            <w:noWrap w:val="0"/>
            <w:vAlign w:val="center"/>
          </w:tcPr>
          <w:p>
            <w:pPr>
              <w:numPr>
                <w:ilvl w:val="0"/>
                <w:numId w:val="0"/>
              </w:numPr>
              <w:jc w:val="center"/>
              <w:rPr>
                <w:rFonts w:hint="eastAsia" w:ascii="宋体" w:hAnsi="宋体" w:eastAsia="宋体" w:cs="宋体"/>
                <w:b/>
                <w:bCs/>
                <w:color w:val="auto"/>
                <w:sz w:val="18"/>
                <w:szCs w:val="18"/>
                <w:vertAlign w:val="baseline"/>
                <w:lang w:eastAsia="zh-CN"/>
              </w:rPr>
            </w:pPr>
            <w:r>
              <w:rPr>
                <w:rFonts w:hint="eastAsia" w:ascii="宋体" w:hAnsi="宋体" w:eastAsia="宋体" w:cs="宋体"/>
                <w:b/>
                <w:bCs/>
                <w:color w:val="auto"/>
                <w:sz w:val="18"/>
                <w:szCs w:val="18"/>
                <w:vertAlign w:val="baseline"/>
                <w:lang w:eastAsia="zh-CN"/>
              </w:rPr>
              <w:t>学制</w:t>
            </w:r>
          </w:p>
          <w:p>
            <w:pPr>
              <w:numPr>
                <w:ilvl w:val="0"/>
                <w:numId w:val="0"/>
              </w:numPr>
              <w:rPr>
                <w:rFonts w:hint="eastAsia" w:ascii="宋体" w:hAnsi="宋体" w:eastAsia="宋体" w:cs="宋体"/>
                <w:b/>
                <w:bCs/>
                <w:color w:val="auto"/>
                <w:sz w:val="18"/>
                <w:szCs w:val="18"/>
                <w:vertAlign w:val="baseline"/>
                <w:lang w:eastAsia="zh-CN"/>
              </w:rPr>
            </w:pPr>
            <w:r>
              <w:rPr>
                <w:rFonts w:hint="eastAsia" w:ascii="宋体" w:hAnsi="宋体" w:eastAsia="宋体" w:cs="宋体"/>
                <w:b/>
                <w:bCs/>
                <w:color w:val="auto"/>
                <w:sz w:val="18"/>
                <w:szCs w:val="18"/>
                <w:vertAlign w:val="baseline"/>
                <w:lang w:eastAsia="zh-CN"/>
              </w:rPr>
              <w:t>（年）</w:t>
            </w:r>
          </w:p>
        </w:tc>
        <w:tc>
          <w:tcPr>
            <w:tcW w:w="705" w:type="dxa"/>
            <w:noWrap w:val="0"/>
            <w:vAlign w:val="center"/>
          </w:tcPr>
          <w:p>
            <w:pPr>
              <w:numPr>
                <w:ilvl w:val="0"/>
                <w:numId w:val="0"/>
              </w:numPr>
              <w:jc w:val="center"/>
              <w:rPr>
                <w:rFonts w:hint="eastAsia" w:ascii="宋体" w:hAnsi="宋体" w:eastAsia="宋体" w:cs="宋体"/>
                <w:b/>
                <w:bCs/>
                <w:color w:val="auto"/>
                <w:sz w:val="18"/>
                <w:szCs w:val="18"/>
                <w:vertAlign w:val="baseline"/>
                <w:lang w:eastAsia="zh-CN"/>
              </w:rPr>
            </w:pPr>
            <w:r>
              <w:rPr>
                <w:rFonts w:hint="eastAsia" w:ascii="宋体" w:hAnsi="宋体" w:eastAsia="宋体" w:cs="宋体"/>
                <w:b/>
                <w:bCs/>
                <w:color w:val="auto"/>
                <w:sz w:val="18"/>
                <w:szCs w:val="18"/>
                <w:vertAlign w:val="baseline"/>
                <w:lang w:eastAsia="zh-CN"/>
              </w:rPr>
              <w:t>学费（元）</w:t>
            </w:r>
          </w:p>
        </w:tc>
        <w:tc>
          <w:tcPr>
            <w:tcW w:w="780" w:type="dxa"/>
            <w:noWrap w:val="0"/>
            <w:vAlign w:val="center"/>
          </w:tcPr>
          <w:p>
            <w:pPr>
              <w:numPr>
                <w:ilvl w:val="0"/>
                <w:numId w:val="0"/>
              </w:numPr>
              <w:rPr>
                <w:rFonts w:hint="eastAsia" w:ascii="宋体" w:hAnsi="宋体" w:eastAsia="宋体" w:cs="宋体"/>
                <w:b/>
                <w:bCs/>
                <w:color w:val="auto"/>
                <w:sz w:val="18"/>
                <w:szCs w:val="18"/>
                <w:vertAlign w:val="baseline"/>
                <w:lang w:eastAsia="zh-CN"/>
              </w:rPr>
            </w:pPr>
            <w:r>
              <w:rPr>
                <w:rFonts w:hint="eastAsia" w:ascii="宋体" w:hAnsi="宋体" w:eastAsia="宋体" w:cs="宋体"/>
                <w:b/>
                <w:bCs/>
                <w:color w:val="auto"/>
                <w:sz w:val="18"/>
                <w:szCs w:val="18"/>
                <w:vertAlign w:val="baseline"/>
                <w:lang w:eastAsia="zh-CN"/>
              </w:rPr>
              <w:t>教材费（元）</w:t>
            </w:r>
          </w:p>
        </w:tc>
        <w:tc>
          <w:tcPr>
            <w:tcW w:w="2355" w:type="dxa"/>
            <w:noWrap w:val="0"/>
            <w:vAlign w:val="center"/>
          </w:tcPr>
          <w:p>
            <w:pPr>
              <w:numPr>
                <w:ilvl w:val="0"/>
                <w:numId w:val="0"/>
              </w:numPr>
              <w:rPr>
                <w:rFonts w:hint="eastAsia" w:ascii="宋体" w:hAnsi="宋体" w:eastAsia="宋体" w:cs="宋体"/>
                <w:b/>
                <w:bCs/>
                <w:color w:val="auto"/>
                <w:sz w:val="18"/>
                <w:szCs w:val="18"/>
                <w:vertAlign w:val="baseline"/>
                <w:lang w:eastAsia="zh-CN"/>
              </w:rPr>
            </w:pPr>
            <w:r>
              <w:rPr>
                <w:rFonts w:hint="eastAsia" w:ascii="宋体" w:hAnsi="宋体" w:eastAsia="宋体" w:cs="宋体"/>
                <w:b/>
                <w:bCs/>
                <w:color w:val="auto"/>
                <w:sz w:val="18"/>
                <w:szCs w:val="18"/>
                <w:vertAlign w:val="baseline"/>
                <w:lang w:eastAsia="zh-CN"/>
              </w:rPr>
              <w:t>教学形式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60" w:type="dxa"/>
            <w:vMerge w:val="restart"/>
            <w:noWrap w:val="0"/>
            <w:vAlign w:val="center"/>
          </w:tcPr>
          <w:p>
            <w:pPr>
              <w:numPr>
                <w:ilvl w:val="0"/>
                <w:numId w:val="0"/>
              </w:numPr>
              <w:rPr>
                <w:rFonts w:hint="eastAsia" w:ascii="宋体" w:hAnsi="宋体" w:eastAsia="宋体" w:cs="宋体"/>
                <w:color w:val="auto"/>
                <w:sz w:val="18"/>
                <w:szCs w:val="18"/>
                <w:vertAlign w:val="baseline"/>
                <w:lang w:eastAsia="zh-CN"/>
              </w:rPr>
            </w:pPr>
            <w:r>
              <w:rPr>
                <w:rFonts w:hint="eastAsia" w:ascii="宋体" w:hAnsi="宋体" w:eastAsia="宋体" w:cs="宋体"/>
                <w:color w:val="auto"/>
                <w:sz w:val="18"/>
                <w:szCs w:val="18"/>
                <w:vertAlign w:val="baseline"/>
                <w:lang w:eastAsia="zh-CN"/>
              </w:rPr>
              <w:t>苏州大学</w:t>
            </w:r>
          </w:p>
        </w:tc>
        <w:tc>
          <w:tcPr>
            <w:tcW w:w="780" w:type="dxa"/>
            <w:vMerge w:val="restart"/>
            <w:noWrap w:val="0"/>
            <w:vAlign w:val="center"/>
          </w:tcPr>
          <w:p>
            <w:pPr>
              <w:numPr>
                <w:ilvl w:val="0"/>
                <w:numId w:val="0"/>
              </w:numPr>
              <w:rPr>
                <w:rFonts w:hint="eastAsia" w:ascii="宋体" w:hAnsi="宋体" w:eastAsia="宋体" w:cs="宋体"/>
                <w:color w:val="auto"/>
                <w:sz w:val="18"/>
                <w:szCs w:val="18"/>
                <w:vertAlign w:val="baseline"/>
                <w:lang w:eastAsia="zh-CN"/>
              </w:rPr>
            </w:pPr>
            <w:r>
              <w:rPr>
                <w:rFonts w:hint="eastAsia" w:ascii="宋体" w:hAnsi="宋体" w:eastAsia="宋体" w:cs="宋体"/>
                <w:color w:val="auto"/>
                <w:sz w:val="18"/>
                <w:szCs w:val="18"/>
                <w:vertAlign w:val="baseline"/>
                <w:lang w:eastAsia="zh-CN"/>
              </w:rPr>
              <w:t>专升本</w:t>
            </w:r>
          </w:p>
        </w:tc>
        <w:tc>
          <w:tcPr>
            <w:tcW w:w="1335" w:type="dxa"/>
            <w:noWrap w:val="0"/>
            <w:vAlign w:val="center"/>
          </w:tcPr>
          <w:p>
            <w:pPr>
              <w:numPr>
                <w:ilvl w:val="0"/>
                <w:numId w:val="0"/>
              </w:numPr>
              <w:jc w:val="center"/>
              <w:rPr>
                <w:rFonts w:hint="eastAsia" w:ascii="宋体" w:hAnsi="宋体" w:eastAsia="宋体" w:cs="宋体"/>
                <w:color w:val="auto"/>
                <w:sz w:val="18"/>
                <w:szCs w:val="18"/>
                <w:vertAlign w:val="baseline"/>
                <w:lang w:eastAsia="zh-CN"/>
              </w:rPr>
            </w:pPr>
            <w:r>
              <w:rPr>
                <w:rFonts w:hint="eastAsia" w:ascii="宋体" w:hAnsi="宋体" w:cs="宋体"/>
                <w:color w:val="auto"/>
                <w:sz w:val="18"/>
                <w:szCs w:val="18"/>
                <w:vertAlign w:val="baseline"/>
                <w:lang w:eastAsia="zh-CN"/>
              </w:rPr>
              <w:t>人力资源管理</w:t>
            </w:r>
          </w:p>
        </w:tc>
        <w:tc>
          <w:tcPr>
            <w:tcW w:w="975" w:type="dxa"/>
            <w:vMerge w:val="restart"/>
            <w:noWrap w:val="0"/>
            <w:vAlign w:val="center"/>
          </w:tcPr>
          <w:p>
            <w:pPr>
              <w:numPr>
                <w:ilvl w:val="0"/>
                <w:numId w:val="0"/>
              </w:numPr>
              <w:rPr>
                <w:rFonts w:hint="eastAsia" w:ascii="宋体" w:hAnsi="宋体" w:eastAsia="宋体" w:cs="宋体"/>
                <w:color w:val="auto"/>
                <w:sz w:val="18"/>
                <w:szCs w:val="18"/>
                <w:vertAlign w:val="baseline"/>
                <w:lang w:eastAsia="zh-CN"/>
              </w:rPr>
            </w:pPr>
            <w:r>
              <w:rPr>
                <w:rFonts w:hint="eastAsia" w:ascii="宋体" w:hAnsi="宋体" w:eastAsia="宋体" w:cs="宋体"/>
                <w:color w:val="auto"/>
                <w:sz w:val="18"/>
                <w:szCs w:val="18"/>
                <w:vertAlign w:val="baseline"/>
                <w:lang w:eastAsia="zh-CN"/>
              </w:rPr>
              <w:t>自主招生</w:t>
            </w:r>
          </w:p>
        </w:tc>
        <w:tc>
          <w:tcPr>
            <w:tcW w:w="735" w:type="dxa"/>
            <w:noWrap w:val="0"/>
            <w:vAlign w:val="center"/>
          </w:tcPr>
          <w:p>
            <w:pPr>
              <w:numPr>
                <w:ilvl w:val="0"/>
                <w:numId w:val="0"/>
              </w:num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2.5</w:t>
            </w:r>
          </w:p>
        </w:tc>
        <w:tc>
          <w:tcPr>
            <w:tcW w:w="705" w:type="dxa"/>
            <w:noWrap w:val="0"/>
            <w:vAlign w:val="center"/>
          </w:tcPr>
          <w:p>
            <w:pPr>
              <w:numPr>
                <w:ilvl w:val="0"/>
                <w:numId w:val="0"/>
              </w:num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5500</w:t>
            </w:r>
          </w:p>
        </w:tc>
        <w:tc>
          <w:tcPr>
            <w:tcW w:w="780" w:type="dxa"/>
            <w:noWrap w:val="0"/>
            <w:vAlign w:val="center"/>
          </w:tcPr>
          <w:p>
            <w:pPr>
              <w:numPr>
                <w:ilvl w:val="0"/>
                <w:numId w:val="0"/>
              </w:num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750</w:t>
            </w:r>
          </w:p>
        </w:tc>
        <w:tc>
          <w:tcPr>
            <w:tcW w:w="2355" w:type="dxa"/>
            <w:vMerge w:val="restart"/>
            <w:noWrap w:val="0"/>
            <w:vAlign w:val="center"/>
          </w:tcPr>
          <w:p>
            <w:pPr>
              <w:numPr>
                <w:ilvl w:val="0"/>
                <w:numId w:val="0"/>
              </w:numPr>
              <w:rPr>
                <w:rFonts w:hint="eastAsia" w:ascii="宋体" w:hAnsi="宋体" w:eastAsia="宋体" w:cs="宋体"/>
                <w:color w:val="auto"/>
                <w:sz w:val="18"/>
                <w:szCs w:val="18"/>
                <w:vertAlign w:val="baseline"/>
                <w:lang w:eastAsia="zh-CN"/>
              </w:rPr>
            </w:pPr>
            <w:r>
              <w:rPr>
                <w:rFonts w:hint="eastAsia" w:eastAsia="宋体"/>
                <w:color w:val="auto"/>
                <w:sz w:val="18"/>
                <w:szCs w:val="18"/>
              </w:rPr>
              <w:t>网络授课</w:t>
            </w:r>
            <w:r>
              <w:rPr>
                <w:rFonts w:eastAsia="宋体"/>
                <w:color w:val="auto"/>
                <w:sz w:val="18"/>
                <w:szCs w:val="18"/>
              </w:rPr>
              <w:t>，每月</w:t>
            </w:r>
            <w:r>
              <w:rPr>
                <w:rFonts w:hint="eastAsia" w:eastAsia="宋体"/>
                <w:color w:val="auto"/>
                <w:sz w:val="18"/>
                <w:szCs w:val="18"/>
              </w:rPr>
              <w:t>1次</w:t>
            </w:r>
            <w:r>
              <w:rPr>
                <w:rFonts w:eastAsia="宋体"/>
                <w:color w:val="auto"/>
                <w:sz w:val="18"/>
                <w:szCs w:val="18"/>
              </w:rPr>
              <w:t>面授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60" w:type="dxa"/>
            <w:vMerge w:val="continue"/>
            <w:noWrap w:val="0"/>
            <w:vAlign w:val="center"/>
          </w:tcPr>
          <w:p>
            <w:pPr>
              <w:numPr>
                <w:ilvl w:val="0"/>
                <w:numId w:val="0"/>
              </w:numPr>
              <w:rPr>
                <w:rFonts w:hint="eastAsia" w:ascii="宋体" w:hAnsi="宋体" w:eastAsia="宋体" w:cs="宋体"/>
                <w:color w:val="auto"/>
                <w:sz w:val="18"/>
                <w:szCs w:val="18"/>
                <w:vertAlign w:val="baseline"/>
                <w:lang w:eastAsia="zh-CN"/>
              </w:rPr>
            </w:pPr>
          </w:p>
        </w:tc>
        <w:tc>
          <w:tcPr>
            <w:tcW w:w="780" w:type="dxa"/>
            <w:vMerge w:val="continue"/>
            <w:noWrap w:val="0"/>
            <w:vAlign w:val="center"/>
          </w:tcPr>
          <w:p>
            <w:pPr>
              <w:numPr>
                <w:ilvl w:val="0"/>
                <w:numId w:val="0"/>
              </w:numPr>
              <w:rPr>
                <w:rFonts w:hint="eastAsia" w:ascii="宋体" w:hAnsi="宋体" w:eastAsia="宋体" w:cs="宋体"/>
                <w:color w:val="auto"/>
                <w:sz w:val="18"/>
                <w:szCs w:val="18"/>
                <w:vertAlign w:val="baseline"/>
                <w:lang w:eastAsia="zh-CN"/>
              </w:rPr>
            </w:pPr>
          </w:p>
        </w:tc>
        <w:tc>
          <w:tcPr>
            <w:tcW w:w="1335" w:type="dxa"/>
            <w:noWrap w:val="0"/>
            <w:vAlign w:val="center"/>
          </w:tcPr>
          <w:p>
            <w:pPr>
              <w:numPr>
                <w:ilvl w:val="0"/>
                <w:numId w:val="0"/>
              </w:numPr>
              <w:jc w:val="center"/>
              <w:rPr>
                <w:rFonts w:hint="eastAsia" w:ascii="宋体" w:hAnsi="宋体" w:eastAsia="宋体" w:cs="宋体"/>
                <w:color w:val="auto"/>
                <w:sz w:val="18"/>
                <w:szCs w:val="18"/>
                <w:vertAlign w:val="baseline"/>
                <w:lang w:eastAsia="zh-CN"/>
              </w:rPr>
            </w:pPr>
            <w:r>
              <w:rPr>
                <w:rFonts w:hint="eastAsia" w:ascii="宋体" w:hAnsi="宋体" w:eastAsia="宋体" w:cs="宋体"/>
                <w:color w:val="auto"/>
                <w:sz w:val="18"/>
                <w:szCs w:val="18"/>
                <w:vertAlign w:val="baseline"/>
                <w:lang w:eastAsia="zh-CN"/>
              </w:rPr>
              <w:t>行政管理</w:t>
            </w:r>
          </w:p>
        </w:tc>
        <w:tc>
          <w:tcPr>
            <w:tcW w:w="975" w:type="dxa"/>
            <w:vMerge w:val="continue"/>
            <w:noWrap w:val="0"/>
            <w:vAlign w:val="center"/>
          </w:tcPr>
          <w:p>
            <w:pPr>
              <w:numPr>
                <w:ilvl w:val="0"/>
                <w:numId w:val="0"/>
              </w:numPr>
              <w:rPr>
                <w:rFonts w:hint="eastAsia" w:ascii="宋体" w:hAnsi="宋体" w:eastAsia="宋体" w:cs="宋体"/>
                <w:color w:val="auto"/>
                <w:sz w:val="18"/>
                <w:szCs w:val="18"/>
                <w:vertAlign w:val="baseline"/>
                <w:lang w:eastAsia="zh-CN"/>
              </w:rPr>
            </w:pPr>
          </w:p>
        </w:tc>
        <w:tc>
          <w:tcPr>
            <w:tcW w:w="735" w:type="dxa"/>
            <w:noWrap w:val="0"/>
            <w:vAlign w:val="center"/>
          </w:tcPr>
          <w:p>
            <w:pPr>
              <w:numPr>
                <w:ilvl w:val="0"/>
                <w:numId w:val="0"/>
              </w:numPr>
              <w:jc w:val="center"/>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2.5</w:t>
            </w:r>
          </w:p>
        </w:tc>
        <w:tc>
          <w:tcPr>
            <w:tcW w:w="705" w:type="dxa"/>
            <w:noWrap w:val="0"/>
            <w:vAlign w:val="center"/>
          </w:tcPr>
          <w:p>
            <w:pPr>
              <w:numPr>
                <w:ilvl w:val="0"/>
                <w:numId w:val="0"/>
              </w:numPr>
              <w:jc w:val="center"/>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5500</w:t>
            </w:r>
          </w:p>
        </w:tc>
        <w:tc>
          <w:tcPr>
            <w:tcW w:w="780" w:type="dxa"/>
            <w:noWrap w:val="0"/>
            <w:vAlign w:val="center"/>
          </w:tcPr>
          <w:p>
            <w:pPr>
              <w:numPr>
                <w:ilvl w:val="0"/>
                <w:numId w:val="0"/>
              </w:numPr>
              <w:jc w:val="center"/>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750</w:t>
            </w:r>
          </w:p>
        </w:tc>
        <w:tc>
          <w:tcPr>
            <w:tcW w:w="2355" w:type="dxa"/>
            <w:vMerge w:val="continue"/>
            <w:noWrap w:val="0"/>
            <w:vAlign w:val="center"/>
          </w:tcPr>
          <w:p>
            <w:pPr>
              <w:numPr>
                <w:ilvl w:val="0"/>
                <w:numId w:val="0"/>
              </w:numPr>
              <w:rPr>
                <w:rFonts w:hint="eastAsia" w:eastAsia="宋体"/>
                <w:color w:val="auto"/>
                <w:sz w:val="18"/>
                <w:szCs w:val="1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640" w:firstLineChars="200"/>
        <w:textAlignment w:val="auto"/>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参与到本次“扶智”项目的帮扶对象，需自行缴纳学费和其他有关费用。能够顺利完成学业取得学历证书的，本项目将在其毕业后全额发放助学学费；因各种原因未能完成学业，中途退学、中途肄业的帮扶对象，将不被列入本次资助金额发放行列并承担相关责任。</w:t>
      </w:r>
    </w:p>
    <w:p>
      <w:pPr>
        <w:numPr>
          <w:ilvl w:val="0"/>
          <w:numId w:val="0"/>
        </w:numPr>
        <w:ind w:firstLine="640" w:firstLineChars="200"/>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学业完成后，由苏州市物业管理行业慈善爱心基金办公室会同苏州市慈善总会（基金会），根据学业完成情况，最终决定资助经费金额。</w:t>
      </w:r>
    </w:p>
    <w:p>
      <w:pPr>
        <w:numPr>
          <w:ilvl w:val="0"/>
          <w:numId w:val="0"/>
        </w:numPr>
        <w:rPr>
          <w:rFonts w:hint="eastAsia" w:ascii="华文仿宋" w:hAnsi="华文仿宋" w:eastAsia="华文仿宋" w:cs="华文仿宋"/>
          <w:color w:val="auto"/>
        </w:rPr>
      </w:pPr>
    </w:p>
    <w:p>
      <w:pPr>
        <w:widowControl w:val="0"/>
        <w:numPr>
          <w:ilvl w:val="0"/>
          <w:numId w:val="2"/>
        </w:numPr>
        <w:ind w:left="0" w:leftChars="0" w:firstLine="0" w:firstLineChars="0"/>
        <w:jc w:val="both"/>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申请条件</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参与本行业慈善爱心基金捐赠至少4年的企业（原则上每家企业不超过2人）；</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苏州市物业企业基层岗位员工具有大专学历；</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年龄18-45周岁；</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已与物业服务企业签订劳动合同，并已缴纳24个月以上社会保险，工作表现良好；</w:t>
      </w:r>
    </w:p>
    <w:p>
      <w:pPr>
        <w:pStyle w:val="5"/>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所在企业推荐报名（学业期间不得更换就职单位）。</w:t>
      </w:r>
    </w:p>
    <w:p>
      <w:pPr>
        <w:widowControl w:val="0"/>
        <w:numPr>
          <w:ilvl w:val="0"/>
          <w:numId w:val="2"/>
        </w:numPr>
        <w:ind w:left="0" w:leftChars="0" w:firstLine="0" w:firstLineChars="0"/>
        <w:jc w:val="both"/>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申请渠道</w:t>
      </w:r>
    </w:p>
    <w:p>
      <w:pPr>
        <w:widowControl w:val="0"/>
        <w:numPr>
          <w:ilvl w:val="0"/>
          <w:numId w:val="0"/>
        </w:numPr>
        <w:ind w:firstLine="640" w:firstLineChars="200"/>
        <w:jc w:val="both"/>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苏州市物业管理行业慈善爱心基金</w:t>
      </w:r>
    </w:p>
    <w:p>
      <w:pPr>
        <w:widowControl w:val="0"/>
        <w:numPr>
          <w:ilvl w:val="0"/>
          <w:numId w:val="0"/>
        </w:numPr>
        <w:ind w:firstLine="640" w:firstLineChars="200"/>
        <w:jc w:val="both"/>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t>说明：拟参与到本次苏州市物业管理行业慈善爱心基金“扶智”工程中来的帮扶对象，需按照流程，向基金办公室提交材料，报名申请（详细申请流程见后文）。</w:t>
      </w:r>
    </w:p>
    <w:p>
      <w:pPr>
        <w:widowControl w:val="0"/>
        <w:numPr>
          <w:ilvl w:val="0"/>
          <w:numId w:val="0"/>
        </w:numPr>
        <w:ind w:leftChars="0"/>
        <w:jc w:val="both"/>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八、材料受理</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outlineLvl w:val="9"/>
        <w:rPr>
          <w:rFonts w:hint="eastAsia" w:ascii="华文仿宋" w:hAnsi="华文仿宋" w:eastAsia="华文仿宋" w:cs="华文仿宋"/>
          <w:color w:val="auto"/>
          <w:spacing w:val="-11"/>
          <w:sz w:val="32"/>
          <w:szCs w:val="32"/>
        </w:rPr>
      </w:pPr>
      <w:r>
        <w:rPr>
          <w:rFonts w:hint="eastAsia" w:ascii="华文仿宋" w:hAnsi="华文仿宋" w:eastAsia="华文仿宋" w:cs="华文仿宋"/>
          <w:color w:val="auto"/>
          <w:spacing w:val="-11"/>
          <w:sz w:val="32"/>
          <w:szCs w:val="32"/>
        </w:rPr>
        <w:t>各物业企业在报名时，需提交的</w:t>
      </w:r>
      <w:r>
        <w:rPr>
          <w:rFonts w:hint="eastAsia" w:ascii="华文仿宋" w:hAnsi="华文仿宋" w:eastAsia="华文仿宋" w:cs="华文仿宋"/>
          <w:color w:val="auto"/>
          <w:spacing w:val="-11"/>
          <w:sz w:val="32"/>
          <w:szCs w:val="32"/>
          <w:lang w:eastAsia="zh-CN"/>
        </w:rPr>
        <w:t>书面</w:t>
      </w:r>
      <w:r>
        <w:rPr>
          <w:rFonts w:hint="eastAsia" w:ascii="华文仿宋" w:hAnsi="华文仿宋" w:eastAsia="华文仿宋" w:cs="华文仿宋"/>
          <w:color w:val="auto"/>
          <w:spacing w:val="-11"/>
          <w:sz w:val="32"/>
          <w:szCs w:val="32"/>
        </w:rPr>
        <w:t>材料包括：</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outlineLvl w:val="9"/>
        <w:rPr>
          <w:rFonts w:hint="eastAsia" w:ascii="华文仿宋" w:hAnsi="华文仿宋" w:eastAsia="华文仿宋" w:cs="华文仿宋"/>
          <w:color w:val="auto"/>
          <w:spacing w:val="-11"/>
          <w:sz w:val="32"/>
          <w:szCs w:val="32"/>
          <w:lang w:val="en-US" w:eastAsia="zh-CN"/>
        </w:rPr>
      </w:pPr>
      <w:r>
        <w:rPr>
          <w:rFonts w:hint="eastAsia" w:ascii="华文仿宋" w:hAnsi="华文仿宋" w:eastAsia="华文仿宋" w:cs="华文仿宋"/>
          <w:color w:val="auto"/>
          <w:spacing w:val="-11"/>
          <w:sz w:val="32"/>
          <w:szCs w:val="32"/>
          <w:lang w:eastAsia="zh-CN"/>
        </w:rPr>
        <w:t>（</w:t>
      </w:r>
      <w:r>
        <w:rPr>
          <w:rFonts w:hint="eastAsia" w:ascii="华文仿宋" w:hAnsi="华文仿宋" w:eastAsia="华文仿宋" w:cs="华文仿宋"/>
          <w:color w:val="auto"/>
          <w:spacing w:val="-11"/>
          <w:sz w:val="32"/>
          <w:szCs w:val="32"/>
          <w:lang w:val="en-US" w:eastAsia="zh-CN"/>
        </w:rPr>
        <w:t>一</w:t>
      </w:r>
      <w:r>
        <w:rPr>
          <w:rFonts w:hint="eastAsia" w:ascii="华文仿宋" w:hAnsi="华文仿宋" w:eastAsia="华文仿宋" w:cs="华文仿宋"/>
          <w:color w:val="auto"/>
          <w:spacing w:val="-11"/>
          <w:sz w:val="32"/>
          <w:szCs w:val="32"/>
          <w:lang w:eastAsia="zh-CN"/>
        </w:rPr>
        <w:t>）苏州市物业管理行业慈善爱心基金扶智工程报名表</w:t>
      </w:r>
      <w:r>
        <w:rPr>
          <w:rFonts w:hint="eastAsia" w:ascii="华文仿宋" w:hAnsi="华文仿宋" w:eastAsia="华文仿宋" w:cs="华文仿宋"/>
          <w:color w:val="auto"/>
          <w:spacing w:val="-11"/>
          <w:sz w:val="32"/>
          <w:szCs w:val="32"/>
          <w:lang w:val="en-US" w:eastAsia="zh-CN"/>
        </w:rPr>
        <w:t xml:space="preserve">（附件2） </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outlineLvl w:val="9"/>
        <w:rPr>
          <w:rFonts w:hint="eastAsia" w:ascii="华文仿宋" w:hAnsi="华文仿宋" w:eastAsia="华文仿宋" w:cs="华文仿宋"/>
          <w:color w:val="auto"/>
          <w:spacing w:val="-11"/>
          <w:sz w:val="32"/>
          <w:szCs w:val="32"/>
        </w:rPr>
      </w:pPr>
      <w:r>
        <w:rPr>
          <w:rFonts w:hint="eastAsia" w:ascii="华文仿宋" w:hAnsi="华文仿宋" w:eastAsia="华文仿宋" w:cs="华文仿宋"/>
          <w:color w:val="auto"/>
          <w:spacing w:val="-11"/>
          <w:sz w:val="32"/>
          <w:szCs w:val="32"/>
          <w:lang w:eastAsia="zh-CN"/>
        </w:rPr>
        <w:t>（</w:t>
      </w:r>
      <w:r>
        <w:rPr>
          <w:rFonts w:hint="eastAsia" w:ascii="华文仿宋" w:hAnsi="华文仿宋" w:eastAsia="华文仿宋" w:cs="华文仿宋"/>
          <w:color w:val="auto"/>
          <w:spacing w:val="-11"/>
          <w:sz w:val="32"/>
          <w:szCs w:val="32"/>
          <w:lang w:val="en-US" w:eastAsia="zh-CN"/>
        </w:rPr>
        <w:t>二</w:t>
      </w:r>
      <w:r>
        <w:rPr>
          <w:rFonts w:hint="eastAsia" w:ascii="华文仿宋" w:hAnsi="华文仿宋" w:eastAsia="华文仿宋" w:cs="华文仿宋"/>
          <w:color w:val="auto"/>
          <w:spacing w:val="-11"/>
          <w:sz w:val="32"/>
          <w:szCs w:val="32"/>
          <w:lang w:eastAsia="zh-CN"/>
        </w:rPr>
        <w:t>）</w:t>
      </w:r>
      <w:r>
        <w:rPr>
          <w:rFonts w:hint="eastAsia" w:ascii="华文仿宋" w:hAnsi="华文仿宋" w:eastAsia="华文仿宋" w:cs="华文仿宋"/>
          <w:color w:val="auto"/>
          <w:spacing w:val="-11"/>
          <w:sz w:val="32"/>
          <w:szCs w:val="32"/>
        </w:rPr>
        <w:t>员工身份证原件及复印件；</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96" w:firstLineChars="200"/>
        <w:jc w:val="left"/>
        <w:textAlignment w:val="auto"/>
        <w:outlineLvl w:val="9"/>
        <w:rPr>
          <w:rFonts w:hint="eastAsia" w:ascii="华文仿宋" w:hAnsi="华文仿宋" w:eastAsia="华文仿宋" w:cs="华文仿宋"/>
          <w:color w:val="auto"/>
          <w:spacing w:val="-11"/>
          <w:sz w:val="32"/>
          <w:szCs w:val="32"/>
        </w:rPr>
      </w:pPr>
      <w:r>
        <w:rPr>
          <w:rFonts w:hint="eastAsia" w:ascii="华文仿宋" w:hAnsi="华文仿宋" w:eastAsia="华文仿宋" w:cs="华文仿宋"/>
          <w:color w:val="auto"/>
          <w:spacing w:val="-11"/>
          <w:sz w:val="32"/>
          <w:szCs w:val="32"/>
        </w:rPr>
        <w:t>（</w:t>
      </w:r>
      <w:r>
        <w:rPr>
          <w:rFonts w:hint="eastAsia" w:ascii="华文仿宋" w:hAnsi="华文仿宋" w:eastAsia="华文仿宋" w:cs="华文仿宋"/>
          <w:color w:val="auto"/>
          <w:spacing w:val="-11"/>
          <w:sz w:val="32"/>
          <w:szCs w:val="32"/>
          <w:lang w:val="en-US" w:eastAsia="zh-CN"/>
        </w:rPr>
        <w:t>三</w:t>
      </w:r>
      <w:r>
        <w:rPr>
          <w:rFonts w:hint="eastAsia" w:ascii="华文仿宋" w:hAnsi="华文仿宋" w:eastAsia="华文仿宋" w:cs="华文仿宋"/>
          <w:color w:val="auto"/>
          <w:spacing w:val="-11"/>
          <w:sz w:val="32"/>
          <w:szCs w:val="32"/>
        </w:rPr>
        <w:t>）员工劳动合同及复印件（盖公章）</w:t>
      </w:r>
      <w:r>
        <w:rPr>
          <w:rFonts w:hint="eastAsia" w:ascii="华文仿宋" w:hAnsi="华文仿宋" w:eastAsia="华文仿宋" w:cs="华文仿宋"/>
          <w:color w:val="auto"/>
          <w:spacing w:val="-11"/>
          <w:sz w:val="32"/>
          <w:szCs w:val="32"/>
          <w:lang w:eastAsia="zh-CN"/>
        </w:rPr>
        <w:t>，</w:t>
      </w:r>
      <w:r>
        <w:rPr>
          <w:rFonts w:hint="eastAsia" w:ascii="华文仿宋" w:hAnsi="华文仿宋" w:eastAsia="华文仿宋" w:cs="华文仿宋"/>
          <w:color w:val="auto"/>
          <w:spacing w:val="-11"/>
          <w:sz w:val="32"/>
          <w:szCs w:val="32"/>
          <w:lang w:val="en-US" w:eastAsia="zh-CN"/>
        </w:rPr>
        <w:t>不含劳务派遣等第三方合同用工</w:t>
      </w:r>
      <w:r>
        <w:rPr>
          <w:rFonts w:hint="eastAsia" w:ascii="华文仿宋" w:hAnsi="华文仿宋" w:eastAsia="华文仿宋" w:cs="华文仿宋"/>
          <w:color w:val="auto"/>
          <w:spacing w:val="-11"/>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outlineLvl w:val="9"/>
        <w:rPr>
          <w:rFonts w:hint="eastAsia" w:ascii="华文仿宋" w:hAnsi="华文仿宋" w:eastAsia="华文仿宋" w:cs="华文仿宋"/>
          <w:color w:val="auto"/>
          <w:spacing w:val="-11"/>
          <w:sz w:val="32"/>
          <w:szCs w:val="32"/>
        </w:rPr>
      </w:pPr>
      <w:r>
        <w:rPr>
          <w:rFonts w:hint="eastAsia" w:ascii="华文仿宋" w:hAnsi="华文仿宋" w:eastAsia="华文仿宋" w:cs="华文仿宋"/>
          <w:color w:val="auto"/>
          <w:spacing w:val="-11"/>
          <w:sz w:val="32"/>
          <w:szCs w:val="32"/>
        </w:rPr>
        <w:t>（</w:t>
      </w:r>
      <w:r>
        <w:rPr>
          <w:rFonts w:hint="eastAsia" w:ascii="华文仿宋" w:hAnsi="华文仿宋" w:eastAsia="华文仿宋" w:cs="华文仿宋"/>
          <w:color w:val="auto"/>
          <w:spacing w:val="-11"/>
          <w:sz w:val="32"/>
          <w:szCs w:val="32"/>
          <w:lang w:val="en-US" w:eastAsia="zh-CN"/>
        </w:rPr>
        <w:t>四</w:t>
      </w:r>
      <w:r>
        <w:rPr>
          <w:rFonts w:hint="eastAsia" w:ascii="华文仿宋" w:hAnsi="华文仿宋" w:eastAsia="华文仿宋" w:cs="华文仿宋"/>
          <w:color w:val="auto"/>
          <w:spacing w:val="-11"/>
          <w:sz w:val="32"/>
          <w:szCs w:val="32"/>
        </w:rPr>
        <w:t>）已缴纳24个月及以上社会保险证明（盖公章）；</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outlineLvl w:val="9"/>
        <w:rPr>
          <w:rFonts w:hint="eastAsia" w:ascii="华文仿宋" w:hAnsi="华文仿宋" w:eastAsia="华文仿宋" w:cs="华文仿宋"/>
          <w:color w:val="auto"/>
          <w:spacing w:val="-11"/>
          <w:sz w:val="32"/>
          <w:szCs w:val="32"/>
        </w:rPr>
      </w:pPr>
      <w:r>
        <w:rPr>
          <w:rFonts w:hint="eastAsia" w:ascii="华文仿宋" w:hAnsi="华文仿宋" w:eastAsia="华文仿宋" w:cs="华文仿宋"/>
          <w:color w:val="auto"/>
          <w:spacing w:val="-11"/>
          <w:sz w:val="32"/>
          <w:szCs w:val="32"/>
        </w:rPr>
        <w:t>（</w:t>
      </w:r>
      <w:r>
        <w:rPr>
          <w:rFonts w:hint="eastAsia" w:ascii="华文仿宋" w:hAnsi="华文仿宋" w:eastAsia="华文仿宋" w:cs="华文仿宋"/>
          <w:color w:val="auto"/>
          <w:spacing w:val="-11"/>
          <w:sz w:val="32"/>
          <w:szCs w:val="32"/>
          <w:lang w:val="en-US" w:eastAsia="zh-CN"/>
        </w:rPr>
        <w:t>五</w:t>
      </w:r>
      <w:r>
        <w:rPr>
          <w:rFonts w:hint="eastAsia" w:ascii="华文仿宋" w:hAnsi="华文仿宋" w:eastAsia="华文仿宋" w:cs="华文仿宋"/>
          <w:color w:val="auto"/>
          <w:spacing w:val="-11"/>
          <w:sz w:val="32"/>
          <w:szCs w:val="32"/>
        </w:rPr>
        <w:t>）员工的学历证书原件和复印件；</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outlineLvl w:val="9"/>
        <w:rPr>
          <w:rFonts w:hint="eastAsia" w:ascii="华文仿宋" w:hAnsi="华文仿宋" w:eastAsia="华文仿宋" w:cs="华文仿宋"/>
          <w:color w:val="auto"/>
          <w:spacing w:val="-11"/>
          <w:sz w:val="32"/>
          <w:szCs w:val="32"/>
          <w:lang w:val="en-US" w:eastAsia="zh-CN"/>
        </w:rPr>
      </w:pPr>
    </w:p>
    <w:p>
      <w:pPr>
        <w:widowControl w:val="0"/>
        <w:numPr>
          <w:ilvl w:val="0"/>
          <w:numId w:val="0"/>
        </w:numPr>
        <w:ind w:leftChars="0"/>
        <w:jc w:val="both"/>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b/>
          <w:bCs/>
          <w:color w:val="auto"/>
          <w:sz w:val="32"/>
          <w:szCs w:val="32"/>
          <w:lang w:val="en-US" w:eastAsia="zh-CN"/>
        </w:rPr>
        <w:t>九、申请流程</w:t>
      </w:r>
    </w:p>
    <w:p>
      <w:pPr>
        <w:numPr>
          <w:ilvl w:val="0"/>
          <w:numId w:val="0"/>
        </w:numPr>
        <w:ind w:firstLine="640" w:firstLineChars="200"/>
        <w:jc w:val="left"/>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具体申请流程如下：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（一）申请人向供职单位递交书面申请材料。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（二）申请人的供职单位向苏州市物业管理行业慈善爱心基金办公室递交书面申请材料。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（三）基金办公室对书面材料进行受理。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（四）苏州市物业管理行业慈善爱心基金管理理事会审核。</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（五）审核通过的名单将在苏州市物业管理协会的官方网站（www.2500szwy.com）进行5个工作日的公示。</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（六）对公示无异议的，将对申请人寄发《拟资助（材料）受理通知书》，并安排后续项目进展。</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（七）申请人完成学业后，填写《资助申请表》等资料，并通过供职单位向基金办公室申请资助。</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（八）将受助人的所有资料进行归档保存。</w:t>
      </w:r>
    </w:p>
    <w:p>
      <w:pPr>
        <w:widowControl w:val="0"/>
        <w:numPr>
          <w:ilvl w:val="0"/>
          <w:numId w:val="0"/>
        </w:numPr>
        <w:jc w:val="left"/>
        <w:rPr>
          <w:rFonts w:hint="eastAsia" w:ascii="仿宋" w:hAnsi="仿宋" w:eastAsia="仿宋" w:cs="仿宋"/>
          <w:b/>
          <w:bCs/>
          <w:color w:val="auto"/>
          <w:spacing w:val="-20"/>
          <w:sz w:val="21"/>
          <w:szCs w:val="21"/>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7EBEBA"/>
    <w:multiLevelType w:val="singleLevel"/>
    <w:tmpl w:val="B27EBEBA"/>
    <w:lvl w:ilvl="0" w:tentative="0">
      <w:start w:val="4"/>
      <w:numFmt w:val="chineseCounting"/>
      <w:suff w:val="nothing"/>
      <w:lvlText w:val="%1、"/>
      <w:lvlJc w:val="left"/>
      <w:rPr>
        <w:rFonts w:hint="eastAsia"/>
      </w:rPr>
    </w:lvl>
  </w:abstractNum>
  <w:abstractNum w:abstractNumId="1">
    <w:nsid w:val="044D3D12"/>
    <w:multiLevelType w:val="singleLevel"/>
    <w:tmpl w:val="044D3D12"/>
    <w:lvl w:ilvl="0" w:tentative="0">
      <w:start w:val="1"/>
      <w:numFmt w:val="decimal"/>
      <w:suff w:val="nothing"/>
      <w:lvlText w:val="%1、"/>
      <w:lvlJc w:val="left"/>
    </w:lvl>
  </w:abstractNum>
  <w:abstractNum w:abstractNumId="2">
    <w:nsid w:val="2FC404A0"/>
    <w:multiLevelType w:val="singleLevel"/>
    <w:tmpl w:val="2FC404A0"/>
    <w:lvl w:ilvl="0" w:tentative="0">
      <w:start w:val="5"/>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243EE"/>
    <w:rsid w:val="5AE24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2019-04-01T10:52:00Z</dcterms:created>
  <dc:creator>じ◇覺￡寤☆</dc:creator>
  <cp:lastModifiedBy>じ◇覺￡寤☆</cp:lastModifiedBy>
  <dcterms:modified xsi:type="dcterms:W3CDTF">2019-04-01T10:53:55Z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